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4.0" w:type="dxa"/>
        <w:jc w:val="left"/>
        <w:tblInd w:w="-72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214"/>
        <w:tblGridChange w:id="0">
          <w:tblGrid>
            <w:gridCol w:w="9214"/>
          </w:tblGrid>
        </w:tblGridChange>
      </w:tblGrid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</w:tabs>
              <w:spacing w:after="12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Exemple de Fiche technique d’information sur l’utilisation de la méthadone, Zoryon® comme antalgique en hospitalisation 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536"/>
                <w:tab w:val="right" w:pos="9072"/>
              </w:tabs>
              <w:spacing w:after="120" w:before="12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Préambule 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Cet outil est un exemple de procédure d’aide à l’utilisation de la méthadone au niveau d’un établissement de soin. Il doit être retravailler de manière adaptée à l’environnement et à l’expérience de chaque équipe. Il a pour vocation à être retravailler de manière individuelle.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Participants</w:t>
      </w:r>
    </w:p>
    <w:tbl>
      <w:tblPr>
        <w:tblStyle w:val="Table2"/>
        <w:tblW w:w="91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6"/>
        <w:gridCol w:w="3969"/>
        <w:gridCol w:w="2835"/>
        <w:tblGridChange w:id="0">
          <w:tblGrid>
            <w:gridCol w:w="2376"/>
            <w:gridCol w:w="3969"/>
            <w:gridCol w:w="28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 Prénom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Fonction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rôle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55"/>
        <w:gridCol w:w="3056"/>
        <w:gridCol w:w="3056"/>
        <w:tblGridChange w:id="0">
          <w:tblGrid>
            <w:gridCol w:w="3055"/>
            <w:gridCol w:w="3056"/>
            <w:gridCol w:w="3056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e0e0e0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Evolutions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N° de version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Date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Objet de la modification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1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85"/>
        <w:gridCol w:w="6095"/>
        <w:tblGridChange w:id="0">
          <w:tblGrid>
            <w:gridCol w:w="3085"/>
            <w:gridCol w:w="60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Structures concernées</w:t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unités d’hospitalisation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Fonctions concernées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médecins, ide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Responsabilités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fiche d’information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1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55"/>
        <w:gridCol w:w="3056"/>
        <w:gridCol w:w="3056"/>
        <w:tblGridChange w:id="0">
          <w:tblGrid>
            <w:gridCol w:w="3055"/>
            <w:gridCol w:w="3056"/>
            <w:gridCol w:w="3056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  <w:shd w:fill="e0e0e0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Rédaction</w:t>
            </w:r>
          </w:p>
        </w:tc>
        <w:tc>
          <w:tcPr>
            <w:shd w:fill="e0e0e0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Vérification</w:t>
            </w:r>
          </w:p>
        </w:tc>
        <w:tc>
          <w:tcPr>
            <w:tcBorders>
              <w:right w:color="000000" w:space="0" w:sz="4" w:val="single"/>
            </w:tcBorders>
            <w:shd w:fill="e0e0e0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Validation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 :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Fonction :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 : 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Fonction : 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 : 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Fonction :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Date :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Date : 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Date : </w:t>
            </w:r>
          </w:p>
        </w:tc>
      </w:tr>
    </w:tbl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headerReference r:id="rId7" w:type="default"/>
          <w:footerReference r:id="rId8" w:type="default"/>
          <w:footerReference r:id="rId9" w:type="first"/>
          <w:pgSz w:h="16834" w:w="11907" w:orient="portrait"/>
          <w:pgMar w:bottom="720" w:top="1152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48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Sommaire</w:t>
      </w:r>
    </w:p>
    <w:p w:rsidR="00000000" w:rsidDel="00000000" w:rsidP="00000000" w:rsidRDefault="00000000" w:rsidRPr="00000000" w14:paraId="00000046">
      <w:pPr>
        <w:spacing w:line="480" w:lineRule="auto"/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Généralité</w:t>
      </w:r>
    </w:p>
    <w:p w:rsidR="00000000" w:rsidDel="00000000" w:rsidP="00000000" w:rsidRDefault="00000000" w:rsidRPr="00000000" w14:paraId="00000047">
      <w:pPr>
        <w:spacing w:line="480" w:lineRule="auto"/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Indication</w:t>
      </w:r>
    </w:p>
    <w:p w:rsidR="00000000" w:rsidDel="00000000" w:rsidP="00000000" w:rsidRDefault="00000000" w:rsidRPr="00000000" w14:paraId="00000048">
      <w:pPr>
        <w:spacing w:line="480" w:lineRule="auto"/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Surveillance</w:t>
      </w:r>
    </w:p>
    <w:p w:rsidR="00000000" w:rsidDel="00000000" w:rsidP="00000000" w:rsidRDefault="00000000" w:rsidRPr="00000000" w14:paraId="00000049">
      <w:pPr>
        <w:spacing w:line="480" w:lineRule="auto"/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Pharmacologie</w:t>
      </w:r>
    </w:p>
    <w:p w:rsidR="00000000" w:rsidDel="00000000" w:rsidP="00000000" w:rsidRDefault="00000000" w:rsidRPr="00000000" w14:paraId="0000004A">
      <w:pPr>
        <w:spacing w:line="480" w:lineRule="auto"/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Schéma d’instauration</w:t>
      </w:r>
    </w:p>
    <w:p w:rsidR="00000000" w:rsidDel="00000000" w:rsidP="00000000" w:rsidRDefault="00000000" w:rsidRPr="00000000" w14:paraId="0000004B">
      <w:pPr>
        <w:spacing w:line="480" w:lineRule="auto"/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Situations cliniques</w:t>
      </w:r>
    </w:p>
    <w:p w:rsidR="00000000" w:rsidDel="00000000" w:rsidP="00000000" w:rsidRDefault="00000000" w:rsidRPr="00000000" w14:paraId="0000004C">
      <w:pPr>
        <w:spacing w:line="480" w:lineRule="auto"/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ANNEXE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167.0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9167"/>
        <w:tblGridChange w:id="0">
          <w:tblGrid>
            <w:gridCol w:w="9167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50">
            <w:pPr>
              <w:jc w:val="center"/>
              <w:rPr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rtl w:val="0"/>
              </w:rPr>
              <w:t xml:space="preserve">Généralité</w:t>
            </w:r>
          </w:p>
        </w:tc>
      </w:tr>
    </w:tbl>
    <w:p w:rsidR="00000000" w:rsidDel="00000000" w:rsidP="00000000" w:rsidRDefault="00000000" w:rsidRPr="00000000" w14:paraId="00000051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/>
      </w:pPr>
      <w:r w:rsidDel="00000000" w:rsidR="00000000" w:rsidRPr="00000000">
        <w:rPr>
          <w:rtl w:val="0"/>
        </w:rPr>
        <w:t xml:space="preserve">La méthadone – Zoryon ® est un opioïde fort synthétique. </w:t>
      </w:r>
    </w:p>
    <w:p w:rsidR="00000000" w:rsidDel="00000000" w:rsidP="00000000" w:rsidRDefault="00000000" w:rsidRPr="00000000" w14:paraId="0000005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/>
      </w:pPr>
      <w:r w:rsidDel="00000000" w:rsidR="00000000" w:rsidRPr="00000000">
        <w:rPr>
          <w:rtl w:val="0"/>
        </w:rPr>
        <w:t xml:space="preserve">Prescripteur initial équipe spécialisée (Douleur, EMSP/USP), renouvellement possible par médecin généraliste.</w:t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/>
      </w:pPr>
      <w:r w:rsidDel="00000000" w:rsidR="00000000" w:rsidRPr="00000000">
        <w:rPr>
          <w:rtl w:val="0"/>
        </w:rPr>
        <w:t xml:space="preserve">L’instauration nécessite une hospitalisation. </w:t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/>
      </w:pPr>
      <w:r w:rsidDel="00000000" w:rsidR="00000000" w:rsidRPr="00000000">
        <w:rPr>
          <w:rtl w:val="0"/>
        </w:rPr>
        <w:t xml:space="preserve">Cet opioïde a une activité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agoniste des récepteurs opioïdes mu.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antagoniste des récepteurs NMDA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inhibitrice de la recapture de noradrénaline et de la sérotonine</w:t>
      </w:r>
    </w:p>
    <w:p w:rsidR="00000000" w:rsidDel="00000000" w:rsidP="00000000" w:rsidRDefault="00000000" w:rsidRPr="00000000" w14:paraId="0000005C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ZORYON : gélule à 5-10-20-40 mg / sirop à 5-10-20-40 mg</w:t>
      </w:r>
    </w:p>
    <w:p w:rsidR="00000000" w:rsidDel="00000000" w:rsidP="00000000" w:rsidRDefault="00000000" w:rsidRPr="00000000" w14:paraId="0000005E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i w:val="1"/>
          <w:color w:val="000000"/>
          <w:sz w:val="20"/>
          <w:szCs w:val="20"/>
        </w:rPr>
      </w:pPr>
      <w:r w:rsidDel="00000000" w:rsidR="00000000" w:rsidRPr="00000000">
        <w:rPr>
          <w:i w:val="1"/>
          <w:color w:val="000000"/>
          <w:sz w:val="20"/>
          <w:szCs w:val="20"/>
          <w:rtl w:val="0"/>
        </w:rPr>
        <w:t xml:space="preserve">Source :AMM/HAS 2020</w:t>
      </w:r>
    </w:p>
    <w:p w:rsidR="00000000" w:rsidDel="00000000" w:rsidP="00000000" w:rsidRDefault="00000000" w:rsidRPr="00000000" w14:paraId="00000060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167.0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9167"/>
        <w:tblGridChange w:id="0">
          <w:tblGrid>
            <w:gridCol w:w="9167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62">
            <w:pPr>
              <w:jc w:val="center"/>
              <w:rPr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rtl w:val="0"/>
              </w:rPr>
              <w:t xml:space="preserve">Indication</w:t>
            </w:r>
          </w:p>
        </w:tc>
      </w:tr>
    </w:tbl>
    <w:p w:rsidR="00000000" w:rsidDel="00000000" w:rsidP="00000000" w:rsidRDefault="00000000" w:rsidRPr="00000000" w14:paraId="00000063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/>
      </w:pPr>
      <w:r w:rsidDel="00000000" w:rsidR="00000000" w:rsidRPr="00000000">
        <w:rPr>
          <w:rtl w:val="0"/>
        </w:rPr>
        <w:t xml:space="preserve">« ZORYON est indiqué chez les adultes et les adolescents à partir de 15 ans dans le traitement de fond de douleurs d’origine cancéreuse d’intensité modérée à sévère chez les patients qui ne sont pas soulagés de façon adéquate par d’autres opioïdes de palier 3, en raison d’une efficacité insuffisante et/ou d’effets indésirables excessifs »</w:t>
      </w:r>
    </w:p>
    <w:p w:rsidR="00000000" w:rsidDel="00000000" w:rsidP="00000000" w:rsidRDefault="00000000" w:rsidRPr="00000000" w14:paraId="0000006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i w:val="1"/>
          <w:color w:val="000000"/>
          <w:sz w:val="20"/>
          <w:szCs w:val="20"/>
        </w:rPr>
      </w:pPr>
      <w:r w:rsidDel="00000000" w:rsidR="00000000" w:rsidRPr="00000000">
        <w:rPr>
          <w:i w:val="1"/>
          <w:color w:val="000000"/>
          <w:sz w:val="20"/>
          <w:szCs w:val="20"/>
          <w:rtl w:val="0"/>
        </w:rPr>
        <w:t xml:space="preserve">Source :AMM</w:t>
      </w:r>
    </w:p>
    <w:p w:rsidR="00000000" w:rsidDel="00000000" w:rsidP="00000000" w:rsidRDefault="00000000" w:rsidRPr="00000000" w14:paraId="0000006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167.0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9167"/>
        <w:tblGridChange w:id="0">
          <w:tblGrid>
            <w:gridCol w:w="9167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6A">
            <w:pPr>
              <w:jc w:val="center"/>
              <w:rPr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rtl w:val="0"/>
              </w:rPr>
              <w:t xml:space="preserve">Surveillance</w:t>
            </w:r>
          </w:p>
        </w:tc>
      </w:tr>
    </w:tbl>
    <w:p w:rsidR="00000000" w:rsidDel="00000000" w:rsidP="00000000" w:rsidRDefault="00000000" w:rsidRPr="00000000" w14:paraId="0000006B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L’instauration et la titration du traitement nécessitent l’hospitalisation du patient. 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167.0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4583"/>
        <w:gridCol w:w="4584"/>
        <w:tblGridChange w:id="0">
          <w:tblGrid>
            <w:gridCol w:w="4583"/>
            <w:gridCol w:w="45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Effets secondaires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Surdosage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Communs aux opioïdes : </w:t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constipation, nausée, vomissement, hallucinations, bouche sèche, hypoglycémie, etc . </w:t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somnolence (utiliser un score de sédation si besoin)</w:t>
            </w:r>
          </w:p>
          <w:p w:rsidR="00000000" w:rsidDel="00000000" w:rsidP="00000000" w:rsidRDefault="00000000" w:rsidRPr="00000000" w14:paraId="000000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fréquence respiratoire (&lt; 8 / min)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i w:val="1"/>
                <w:rtl w:val="0"/>
              </w:rPr>
              <w:t xml:space="preserve">Le myosis n’est pas un signe de surdosage, mais un signe d’imprégnation opioïde.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Spécifique : </w:t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Allongement du QT avec risque de torsade de pointe pour des doses supérieures à 120 mg/jour (rarement retrouvé en pratique).</w:t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Un allongement du QT n’est cependant pas une CI à l’instauration d’un traitement par méthadone.</w:t>
            </w:r>
          </w:p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Avant l’instaurationet tout au long de la prise du traitement :</w:t>
      </w:r>
    </w:p>
    <w:p w:rsidR="00000000" w:rsidDel="00000000" w:rsidP="00000000" w:rsidRDefault="00000000" w:rsidRPr="00000000" w14:paraId="00000082">
      <w:pPr>
        <w:jc w:val="both"/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/>
      </w:pPr>
      <w:r w:rsidDel="00000000" w:rsidR="00000000" w:rsidRPr="00000000">
        <w:rPr>
          <w:rtl w:val="0"/>
        </w:rPr>
        <w:t xml:space="preserve">Analyse d’interactions médicamenteuses potentielles </w:t>
      </w:r>
    </w:p>
    <w:p w:rsidR="00000000" w:rsidDel="00000000" w:rsidP="00000000" w:rsidRDefault="00000000" w:rsidRPr="00000000" w14:paraId="0000008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Un ECG et un ionogramme est effectué à l’initiation du traitement et une surveillance poursuivie tout au long du traitement et en cas d’augmentation de posologie et chez les patients présentant un risque d’allongement du QT.</w:t>
      </w:r>
    </w:p>
    <w:p w:rsidR="00000000" w:rsidDel="00000000" w:rsidP="00000000" w:rsidRDefault="00000000" w:rsidRPr="00000000" w14:paraId="00000086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Pendant l’instauration</w:t>
      </w:r>
    </w:p>
    <w:p w:rsidR="00000000" w:rsidDel="00000000" w:rsidP="00000000" w:rsidRDefault="00000000" w:rsidRPr="00000000" w14:paraId="00000088">
      <w:pPr>
        <w:jc w:val="both"/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both"/>
        <w:rPr/>
      </w:pPr>
      <w:r w:rsidDel="00000000" w:rsidR="00000000" w:rsidRPr="00000000">
        <w:rPr>
          <w:rtl w:val="0"/>
        </w:rPr>
        <w:t xml:space="preserve">Surveillance des effets secondaires et risque de surdosage</w:t>
      </w:r>
    </w:p>
    <w:p w:rsidR="00000000" w:rsidDel="00000000" w:rsidP="00000000" w:rsidRDefault="00000000" w:rsidRPr="00000000" w14:paraId="0000008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  <w:sectPr>
          <w:footerReference r:id="rId10" w:type="default"/>
          <w:type w:val="nextPage"/>
          <w:pgSz w:h="16834" w:w="11907" w:orient="portrait"/>
          <w:pgMar w:bottom="720" w:top="1152" w:left="1440" w:right="1440" w:header="720" w:footer="720"/>
        </w:sectPr>
      </w:pPr>
      <w:r w:rsidDel="00000000" w:rsidR="00000000" w:rsidRPr="00000000">
        <w:rPr>
          <w:rtl w:val="0"/>
        </w:rPr>
        <w:t xml:space="preserve">Protocole de surdosage clair et disponible dans le dossier de soin.</w:t>
      </w:r>
    </w:p>
    <w:p w:rsidR="00000000" w:rsidDel="00000000" w:rsidP="00000000" w:rsidRDefault="00000000" w:rsidRPr="00000000" w14:paraId="0000008F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15373.0" w:type="dxa"/>
        <w:jc w:val="left"/>
        <w:tblInd w:w="7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3105"/>
        <w:gridCol w:w="2268"/>
        <w:tblGridChange w:id="0">
          <w:tblGrid>
            <w:gridCol w:w="13105"/>
            <w:gridCol w:w="2268"/>
          </w:tblGrid>
        </w:tblGridChange>
      </w:tblGrid>
      <w:tr>
        <w:trPr>
          <w:cantSplit w:val="0"/>
          <w:trHeight w:val="5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ETABLISSEMENT DE SANTE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Ref</w:t>
            </w:r>
          </w:p>
          <w:p w:rsidR="00000000" w:rsidDel="00000000" w:rsidP="00000000" w:rsidRDefault="00000000" w:rsidRPr="00000000" w14:paraId="00000092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Service</w:t>
            </w:r>
          </w:p>
          <w:p w:rsidR="00000000" w:rsidDel="00000000" w:rsidP="00000000" w:rsidRDefault="00000000" w:rsidRPr="00000000" w14:paraId="0000009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Version : </w:t>
            </w:r>
          </w:p>
          <w:p w:rsidR="00000000" w:rsidDel="00000000" w:rsidP="00000000" w:rsidRDefault="00000000" w:rsidRPr="00000000" w14:paraId="0000009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Date de création :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b w:val="1"/>
                <w:sz w:val="32"/>
                <w:szCs w:val="3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Surveillance de l’instauration de méthadone (Zoryon®) : EXEMPLE</w:t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jc w:val="both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5178.0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1719"/>
        <w:gridCol w:w="938"/>
        <w:gridCol w:w="3994"/>
        <w:gridCol w:w="1541"/>
        <w:gridCol w:w="1404"/>
        <w:gridCol w:w="2085"/>
        <w:gridCol w:w="1545"/>
        <w:gridCol w:w="1952"/>
        <w:tblGridChange w:id="0">
          <w:tblGrid>
            <w:gridCol w:w="1719"/>
            <w:gridCol w:w="938"/>
            <w:gridCol w:w="3994"/>
            <w:gridCol w:w="1541"/>
            <w:gridCol w:w="1404"/>
            <w:gridCol w:w="2085"/>
            <w:gridCol w:w="1545"/>
            <w:gridCol w:w="1952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gridSpan w:val="8"/>
            <w:shd w:fill="dbe5f1" w:val="clear"/>
            <w:vAlign w:val="center"/>
          </w:tcPr>
          <w:p w:rsidR="00000000" w:rsidDel="00000000" w:rsidP="00000000" w:rsidRDefault="00000000" w:rsidRPr="00000000" w14:paraId="00000099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Date jour 1 : ___________________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A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Nom, prénom</w:t>
            </w:r>
          </w:p>
          <w:p w:rsidR="00000000" w:rsidDel="00000000" w:rsidP="00000000" w:rsidRDefault="00000000" w:rsidRPr="00000000" w14:paraId="000000A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(qui effectue la surveillance 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A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Heure 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A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Effet secondaire ?</w:t>
            </w:r>
          </w:p>
          <w:p w:rsidR="00000000" w:rsidDel="00000000" w:rsidP="00000000" w:rsidRDefault="00000000" w:rsidRPr="00000000" w14:paraId="000000A5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(Indiquez si : constipation, nausée, vomissement, hallucinations, bouche sèche, hypoglycémie)</w:t>
            </w:r>
          </w:p>
          <w:p w:rsidR="00000000" w:rsidDel="00000000" w:rsidP="00000000" w:rsidRDefault="00000000" w:rsidRPr="00000000" w14:paraId="000000A6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Gradation : Léger, modéré, intense, très intense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Surveillance surdosage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A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Evaluation de la douleur</w:t>
            </w:r>
          </w:p>
          <w:p w:rsidR="00000000" w:rsidDel="00000000" w:rsidP="00000000" w:rsidRDefault="00000000" w:rsidRPr="00000000" w14:paraId="000000A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(Echelle numérique, Echelle verbale simple)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A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Dose de méthadone</w:t>
            </w:r>
          </w:p>
          <w:p w:rsidR="00000000" w:rsidDel="00000000" w:rsidP="00000000" w:rsidRDefault="00000000" w:rsidRPr="00000000" w14:paraId="000000A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(depuis le dernier passage)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A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Dose de méthadone totale du jour </w:t>
            </w:r>
          </w:p>
          <w:p w:rsidR="00000000" w:rsidDel="00000000" w:rsidP="00000000" w:rsidRDefault="00000000" w:rsidRPr="00000000" w14:paraId="000000A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Score Sédation (ex :RASS)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Fréquence respiratoire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B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7">
      <w:pPr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Open Sans" w:cs="Open Sans" w:eastAsia="Open Sans" w:hAnsi="Open Sans"/>
        </w:rPr>
        <w:sectPr>
          <w:type w:val="nextPage"/>
          <w:pgSz w:h="11907" w:w="16834" w:orient="landscape"/>
          <w:pgMar w:bottom="1440" w:top="1440" w:left="720" w:right="1152" w:header="720" w:footer="72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both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Après l’instauration</w:t>
      </w:r>
    </w:p>
    <w:p w:rsidR="00000000" w:rsidDel="00000000" w:rsidP="00000000" w:rsidRDefault="00000000" w:rsidRPr="00000000" w14:paraId="000000E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both"/>
        <w:rPr/>
      </w:pPr>
      <w:r w:rsidDel="00000000" w:rsidR="00000000" w:rsidRPr="00000000">
        <w:rPr>
          <w:rtl w:val="0"/>
        </w:rPr>
        <w:t xml:space="preserve">Surveillance habituelle d’un traitement opioïde.</w:t>
      </w:r>
    </w:p>
    <w:p w:rsidR="00000000" w:rsidDel="00000000" w:rsidP="00000000" w:rsidRDefault="00000000" w:rsidRPr="00000000" w14:paraId="000000E2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both"/>
        <w:rPr>
          <w:i w:val="1"/>
          <w:color w:val="000000"/>
          <w:sz w:val="20"/>
          <w:szCs w:val="20"/>
        </w:rPr>
      </w:pPr>
      <w:r w:rsidDel="00000000" w:rsidR="00000000" w:rsidRPr="00000000">
        <w:rPr>
          <w:i w:val="1"/>
          <w:color w:val="000000"/>
          <w:sz w:val="20"/>
          <w:szCs w:val="20"/>
          <w:rtl w:val="0"/>
        </w:rPr>
        <w:t xml:space="preserve">Source : AMM/HAS 2020</w:t>
      </w:r>
    </w:p>
    <w:p w:rsidR="00000000" w:rsidDel="00000000" w:rsidP="00000000" w:rsidRDefault="00000000" w:rsidRPr="00000000" w14:paraId="000000E5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167.0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9167"/>
        <w:tblGridChange w:id="0">
          <w:tblGrid>
            <w:gridCol w:w="9167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E8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rtl w:val="0"/>
              </w:rPr>
              <w:t xml:space="preserve">Pharmacologie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La méthadone est un opioïde fort synthétique, agoniste des récepteurs opioïdes mu. Une activité antagoniste des récepteurs NMDA et inhibitrice de la recapture de noradrénaline et de la sérotonine. 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Biodisponibilité : 80-90%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Détectable dans le plasma en 15 à 30 mn. 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Pic plasmatique entre 2,5 et 4h.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Délai de l’effet antalgique entre 30 et 60 mn.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Durée de l’effet antalgique : de 3 à 6 heures en titration, 8 à 12h en doses répétées.</w:t>
      </w:r>
    </w:p>
    <w:p w:rsidR="00000000" w:rsidDel="00000000" w:rsidP="00000000" w:rsidRDefault="00000000" w:rsidRPr="00000000" w14:paraId="000000F2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Métabolisme</w:t>
      </w:r>
    </w:p>
    <w:p w:rsidR="00000000" w:rsidDel="00000000" w:rsidP="00000000" w:rsidRDefault="00000000" w:rsidRPr="00000000" w14:paraId="000000F4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hépatique principalement, CYP 4503A4 </w:t>
      </w:r>
    </w:p>
    <w:p w:rsidR="00000000" w:rsidDel="00000000" w:rsidP="00000000" w:rsidRDefault="00000000" w:rsidRPr="00000000" w14:paraId="000000F5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- 2 métabolites inactifs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color w:val="000000"/>
          <w:rtl w:val="0"/>
        </w:rPr>
        <w:t xml:space="preserve">- variabilités inter-individuelles importantes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  <w:t xml:space="preserve">Variation de la demi- vie en fonction des rythmes de prises (dû à sa lipophile):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phase de distribution rapide: 14 ± 6 h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phase d’élimination lente: 55 ± 27 h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phase chronique: 22,5 ± 7 h.</w:t>
      </w:r>
    </w:p>
    <w:p w:rsidR="00000000" w:rsidDel="00000000" w:rsidP="00000000" w:rsidRDefault="00000000" w:rsidRPr="00000000" w14:paraId="000000FC">
      <w:pPr>
        <w:spacing w:after="120" w:before="12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Il existe un stockage progressif tissulaire (graisses, poumon, etc.) avec saturation autour du 5</w:t>
      </w:r>
      <w:r w:rsidDel="00000000" w:rsidR="00000000" w:rsidRPr="00000000">
        <w:rPr>
          <w:b w:val="1"/>
          <w:vertAlign w:val="superscript"/>
          <w:rtl w:val="0"/>
        </w:rPr>
        <w:t xml:space="preserve">ème</w:t>
      </w:r>
      <w:r w:rsidDel="00000000" w:rsidR="00000000" w:rsidRPr="00000000">
        <w:rPr>
          <w:b w:val="1"/>
          <w:rtl w:val="0"/>
        </w:rPr>
        <w:t xml:space="preserve"> jour expliquant par le biais d’augmentation de la fraction libre circulante, le risque de surdosage entre 5 et 7 jours. Une vigilance » accrue est nécessaire jusqu’à 5-7 jours.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Elimination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  <w:t xml:space="preserve">- Excrétion rénale faible, augmentée si pH &lt; 6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  <w:t xml:space="preserve">- Excrétion fécale donc pas de risque d’accumulation si insuffisance rénale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  <w:t xml:space="preserve">La méthadone est bien absorbée par le système gastro-intestinal, quel que soit son type de présentation (sirop ou comprimés). Elle a une excellente biodisponibilité de 80 à 95 %.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  <w:t xml:space="preserve">Elle est métabolisée par le CYP  (risque d’interactions médicamenteuses), en des métabolites inactifs et non toxiques (pas de contre-indication en cas d’insuffisance rénale). L’élimination est fécale. Sa pharmacocinétique est complexe avec une grande variabilité intra- et interindividuelle. Sa demi-vie d’élimination est longue et variable (T1/2 de 15 à 60 h, médiane 22 h). </w:t>
      </w:r>
    </w:p>
    <w:p w:rsidR="00000000" w:rsidDel="00000000" w:rsidP="00000000" w:rsidRDefault="00000000" w:rsidRPr="00000000" w14:paraId="00000106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Source HAS 2020</w:t>
      </w:r>
    </w:p>
    <w:p w:rsidR="00000000" w:rsidDel="00000000" w:rsidP="00000000" w:rsidRDefault="00000000" w:rsidRPr="00000000" w14:paraId="00000108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167.0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9167"/>
        <w:tblGridChange w:id="0">
          <w:tblGrid>
            <w:gridCol w:w="9167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09">
            <w:pPr>
              <w:jc w:val="center"/>
              <w:rPr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rtl w:val="0"/>
              </w:rPr>
              <w:t xml:space="preserve">Schéma d’instauration</w:t>
            </w:r>
          </w:p>
        </w:tc>
      </w:tr>
    </w:tbl>
    <w:p w:rsidR="00000000" w:rsidDel="00000000" w:rsidP="00000000" w:rsidRDefault="00000000" w:rsidRPr="00000000" w14:paraId="0000010A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240" w:lineRule="auto"/>
        <w:jc w:val="both"/>
        <w:rPr/>
      </w:pPr>
      <w:r w:rsidDel="00000000" w:rsidR="00000000" w:rsidRPr="00000000">
        <w:rPr>
          <w:rtl w:val="0"/>
        </w:rPr>
        <w:t xml:space="preserve">Le groupe méthadone de la commission douleur et cancer de la SFETD propose un outil de calcul des protocoles comme aide à la prescription, comparant plusieurs protocoles solides issus de la littérature..</w:t>
      </w:r>
    </w:p>
    <w:p w:rsidR="00000000" w:rsidDel="00000000" w:rsidP="00000000" w:rsidRDefault="00000000" w:rsidRPr="00000000" w14:paraId="0000010C">
      <w:pPr>
        <w:spacing w:after="240" w:before="240" w:lineRule="auto"/>
        <w:jc w:val="both"/>
        <w:rPr>
          <w:color w:val="1155cc"/>
          <w:u w:val="single"/>
        </w:rPr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https://www.sfetd-douleur.org/douleurs-cancer/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both"/>
        <w:rPr>
          <w:i w:val="1"/>
        </w:rPr>
      </w:pPr>
      <w:r w:rsidDel="00000000" w:rsidR="00000000" w:rsidRPr="00000000">
        <w:rPr>
          <w:rtl w:val="0"/>
        </w:rPr>
        <w:t xml:space="preserve">« Il existe de nombreux protocoles de conversion à la méthadone, présentant divers ratios, méthodes de prise et d’instauration. Aucun protocole n’a fait la preuve de sa supériorité en termes de bénéfices/risques. » </w:t>
      </w:r>
      <w:r w:rsidDel="00000000" w:rsidR="00000000" w:rsidRPr="00000000">
        <w:rPr>
          <w:i w:val="1"/>
          <w:rtl w:val="0"/>
        </w:rPr>
        <w:t xml:space="preserve">HAS 2020</w:t>
      </w:r>
    </w:p>
    <w:p w:rsidR="00000000" w:rsidDel="00000000" w:rsidP="00000000" w:rsidRDefault="00000000" w:rsidRPr="00000000" w14:paraId="00000110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« </w:t>
      </w:r>
      <w:r w:rsidDel="00000000" w:rsidR="00000000" w:rsidRPr="00000000">
        <w:rPr>
          <w:rtl w:val="0"/>
        </w:rPr>
        <w:t xml:space="preserve">Le choix du protocole à utiliser lors de l’instauration du traitement est laissé à l’appréciation de l’équipe hospitalière. » </w:t>
      </w:r>
      <w:r w:rsidDel="00000000" w:rsidR="00000000" w:rsidRPr="00000000">
        <w:rPr>
          <w:i w:val="1"/>
          <w:rtl w:val="0"/>
        </w:rPr>
        <w:t xml:space="preserve">AMM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Deux protocoles sont proposés par le laboratoire et présent en annexe des recommandations de bonne pratique de l’AFSSAPS 2010 </w:t>
      </w:r>
    </w:p>
    <w:p w:rsidR="00000000" w:rsidDel="00000000" w:rsidP="00000000" w:rsidRDefault="00000000" w:rsidRPr="00000000" w14:paraId="00000114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15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 protocole de changement rapide associé à des doses à la demande avec utilisation d’un ratio fixe pour calculer une dose unitaire de prise.</w:t>
      </w:r>
    </w:p>
    <w:p w:rsidR="00000000" w:rsidDel="00000000" w:rsidP="00000000" w:rsidRDefault="00000000" w:rsidRPr="00000000" w14:paraId="00000116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 protocole de changement progressif d’opioïde associé à des doses fixes et interdoses avec utilisation de ratio progressif pour calculer une dose journalière.</w:t>
      </w:r>
    </w:p>
    <w:p w:rsidR="00000000" w:rsidDel="00000000" w:rsidP="00000000" w:rsidRDefault="00000000" w:rsidRPr="00000000" w14:paraId="00000118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Détail disponible</w:t>
      </w:r>
    </w:p>
    <w:p w:rsidR="00000000" w:rsidDel="00000000" w:rsidP="00000000" w:rsidRDefault="00000000" w:rsidRPr="00000000" w14:paraId="0000011A">
      <w:pPr>
        <w:jc w:val="both"/>
        <w:rPr>
          <w:color w:val="000000"/>
        </w:rPr>
      </w:pP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https://ansm.sante.fr/documents/reference/recommandations-pour-les-medicaments</w:t>
        </w:r>
      </w:hyperlink>
      <w:r w:rsidDel="00000000" w:rsidR="00000000" w:rsidRPr="00000000">
        <w:rPr>
          <w:color w:val="000000"/>
          <w:rtl w:val="0"/>
        </w:rPr>
        <w:t xml:space="preserve"> (douleur)</w:t>
      </w:r>
    </w:p>
    <w:p w:rsidR="00000000" w:rsidDel="00000000" w:rsidP="00000000" w:rsidRDefault="00000000" w:rsidRPr="00000000" w14:paraId="0000011B">
      <w:pPr>
        <w:jc w:val="both"/>
        <w:rPr>
          <w:color w:val="000000"/>
        </w:rPr>
      </w:pPr>
      <w:hyperlink r:id="rId13">
        <w:r w:rsidDel="00000000" w:rsidR="00000000" w:rsidRPr="00000000">
          <w:rPr>
            <w:color w:val="0000ff"/>
            <w:u w:val="single"/>
            <w:rtl w:val="0"/>
          </w:rPr>
          <w:t xml:space="preserve">https://www.has-sante.fr/upload/docs/application/pdf/2020-02/reco_fin_vie_med.pdf</w:t>
        </w:r>
      </w:hyperlink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1C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Le premier jour, la dose maximale de méthadone est de 30 mg par prise (quel que soit le protocole).</w:t>
      </w:r>
    </w:p>
    <w:p w:rsidR="00000000" w:rsidDel="00000000" w:rsidP="00000000" w:rsidRDefault="00000000" w:rsidRPr="00000000" w14:paraId="0000011E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Lors de l’instauration, il existe donc soit des prises fixes avec interdoses soit des doses à la demande.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Un intervalle d’une à deux heures doit être respecté entre les prises et les interdoses.</w:t>
      </w:r>
    </w:p>
    <w:p w:rsidR="00000000" w:rsidDel="00000000" w:rsidP="00000000" w:rsidRDefault="00000000" w:rsidRPr="00000000" w14:paraId="00000120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posologie est réévaluée quotidiennement pour adaptation. </w:t>
      </w:r>
    </w:p>
    <w:p w:rsidR="00000000" w:rsidDel="00000000" w:rsidP="00000000" w:rsidRDefault="00000000" w:rsidRPr="00000000" w14:paraId="00000122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Une fois la dose quotidienne titrée (5 à 7 jours), elle est répartie en deux ou trois prises par jour. Des interdoses de l’ordre de 10 à 20% de la dose quotidienne peuvent être utilisées en cas de douleur persistante.</w:t>
      </w:r>
    </w:p>
    <w:p w:rsidR="00000000" w:rsidDel="00000000" w:rsidP="00000000" w:rsidRDefault="00000000" w:rsidRPr="00000000" w14:paraId="00000124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 la douleur persiste et/ou si le patient prend plus de trois interdoses par jour, la posologie pourra être augmentée de 20 à 40% en fonction de la tolérance, une fois la dose stabilisée.</w:t>
      </w:r>
    </w:p>
    <w:p w:rsidR="00000000" w:rsidDel="00000000" w:rsidP="00000000" w:rsidRDefault="00000000" w:rsidRPr="00000000" w14:paraId="00000125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both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Source HAS 2020/AFSSAPS 2010</w:t>
      </w:r>
    </w:p>
    <w:p w:rsidR="00000000" w:rsidDel="00000000" w:rsidP="00000000" w:rsidRDefault="00000000" w:rsidRPr="00000000" w14:paraId="00000128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167.0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9167"/>
        <w:tblGridChange w:id="0">
          <w:tblGrid>
            <w:gridCol w:w="9167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29">
            <w:pPr>
              <w:jc w:val="center"/>
              <w:rPr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rtl w:val="0"/>
              </w:rPr>
              <w:t xml:space="preserve">Situations cliniques</w:t>
            </w:r>
          </w:p>
        </w:tc>
      </w:tr>
    </w:tbl>
    <w:p w:rsidR="00000000" w:rsidDel="00000000" w:rsidP="00000000" w:rsidRDefault="00000000" w:rsidRPr="00000000" w14:paraId="0000012A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both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Que faire en cas d’oubli de prise ou de double prise (en dehors de la phase de titration)?</w:t>
      </w:r>
    </w:p>
    <w:p w:rsidR="00000000" w:rsidDel="00000000" w:rsidP="00000000" w:rsidRDefault="00000000" w:rsidRPr="00000000" w14:paraId="0000012C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L’élément important est la dose totale prise par 24 heures. </w:t>
      </w:r>
    </w:p>
    <w:p w:rsidR="00000000" w:rsidDel="00000000" w:rsidP="00000000" w:rsidRDefault="00000000" w:rsidRPr="00000000" w14:paraId="0000012E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En cas d’oubli, le patient peut prendre la dose oubliée plus tard, en respectant un intervalle de deux heures entre les prises.</w:t>
      </w:r>
    </w:p>
    <w:p w:rsidR="00000000" w:rsidDel="00000000" w:rsidP="00000000" w:rsidRDefault="00000000" w:rsidRPr="00000000" w14:paraId="0000012F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En cas de double prise, le patient ne doit pas prendre la dose fixe suivante afin de rester sur la même quantité totale de méthadone quotidienne.</w:t>
      </w:r>
    </w:p>
    <w:p w:rsidR="00000000" w:rsidDel="00000000" w:rsidP="00000000" w:rsidRDefault="00000000" w:rsidRPr="00000000" w14:paraId="00000130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both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Est-il possible d’associer des médicaments à la méthadone ?</w:t>
      </w:r>
    </w:p>
    <w:p w:rsidR="00000000" w:rsidDel="00000000" w:rsidP="00000000" w:rsidRDefault="00000000" w:rsidRPr="00000000" w14:paraId="00000132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méthadone peut interagir avec de nombreux autres médicaments : il faut sensibiliser le patient avant sa sortie, en insistant sur la prise de médicaments sans ordonnance, les médicaments ou les compléments alimentaires à base de plantes, et lui préciser d’éviter la prise de jus de pamplemousse. Le patient doit demander l’avis d’un médecin ou d’un pharmacien avant toute introduction d’un nouveau traitement.</w:t>
      </w:r>
    </w:p>
    <w:p w:rsidR="00000000" w:rsidDel="00000000" w:rsidP="00000000" w:rsidRDefault="00000000" w:rsidRPr="00000000" w14:paraId="00000133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Pour informations : </w:t>
      </w:r>
    </w:p>
    <w:p w:rsidR="00000000" w:rsidDel="00000000" w:rsidP="00000000" w:rsidRDefault="00000000" w:rsidRPr="00000000" w14:paraId="00000135">
      <w:pPr>
        <w:spacing w:after="20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Associations contre-indiquées :</w:t>
      </w:r>
    </w:p>
    <w:p w:rsidR="00000000" w:rsidDel="00000000" w:rsidP="00000000" w:rsidRDefault="00000000" w:rsidRPr="00000000" w14:paraId="00000136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• Morphiniques agonistes-antagonistes :  buprenorphine, nalbuphine, pentazocine (risque : syndrome de sevrage),</w:t>
      </w:r>
    </w:p>
    <w:p w:rsidR="00000000" w:rsidDel="00000000" w:rsidP="00000000" w:rsidRDefault="00000000" w:rsidRPr="00000000" w14:paraId="00000137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• Naltrexone (risque : syndrome de sevrage),</w:t>
      </w:r>
    </w:p>
    <w:p w:rsidR="00000000" w:rsidDel="00000000" w:rsidP="00000000" w:rsidRDefault="00000000" w:rsidRPr="00000000" w14:paraId="00000138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• Sultopride (risque : troubles du rythme).</w:t>
      </w:r>
    </w:p>
    <w:p w:rsidR="00000000" w:rsidDel="00000000" w:rsidP="00000000" w:rsidRDefault="00000000" w:rsidRPr="00000000" w14:paraId="00000139">
      <w:pPr>
        <w:spacing w:after="20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Associations déconseillées :</w:t>
      </w:r>
    </w:p>
    <w:p w:rsidR="00000000" w:rsidDel="00000000" w:rsidP="00000000" w:rsidRDefault="00000000" w:rsidRPr="00000000" w14:paraId="0000013A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• Médicaments susceptibles de provoquer des torsades de pointes (risque : allongement</w:t>
      </w:r>
    </w:p>
    <w:p w:rsidR="00000000" w:rsidDel="00000000" w:rsidP="00000000" w:rsidRDefault="00000000" w:rsidRPr="00000000" w14:paraId="0000013B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intervalle QT) :</w:t>
      </w:r>
    </w:p>
    <w:p w:rsidR="00000000" w:rsidDel="00000000" w:rsidP="00000000" w:rsidRDefault="00000000" w:rsidRPr="00000000" w14:paraId="0000013C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- Antibiotiques : fluoroquinolones, macrolides,</w:t>
      </w:r>
    </w:p>
    <w:p w:rsidR="00000000" w:rsidDel="00000000" w:rsidP="00000000" w:rsidRDefault="00000000" w:rsidRPr="00000000" w14:paraId="0000013D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- Antiparasitaires : chloroquine, quinine,</w:t>
      </w:r>
    </w:p>
    <w:p w:rsidR="00000000" w:rsidDel="00000000" w:rsidP="00000000" w:rsidRDefault="00000000" w:rsidRPr="00000000" w14:paraId="0000013E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- Neuroleptiques, ISRS et antidépresseurs tricycliques,</w:t>
      </w:r>
    </w:p>
    <w:p w:rsidR="00000000" w:rsidDel="00000000" w:rsidP="00000000" w:rsidRDefault="00000000" w:rsidRPr="00000000" w14:paraId="0000013F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- Antiarythmiques, β-bloquants, bradycardisants.</w:t>
      </w:r>
    </w:p>
    <w:p w:rsidR="00000000" w:rsidDel="00000000" w:rsidP="00000000" w:rsidRDefault="00000000" w:rsidRPr="00000000" w14:paraId="00000140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- Antiémétiques : ondansetron,</w:t>
      </w:r>
    </w:p>
    <w:p w:rsidR="00000000" w:rsidDel="00000000" w:rsidP="00000000" w:rsidRDefault="00000000" w:rsidRPr="00000000" w14:paraId="00000141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• Alcool (risque : majoration effet sédatif).</w:t>
      </w:r>
    </w:p>
    <w:p w:rsidR="00000000" w:rsidDel="00000000" w:rsidP="00000000" w:rsidRDefault="00000000" w:rsidRPr="00000000" w14:paraId="00000142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La méthadone est métabolisée en produits inactifs par les cytochromes P450, d’autres interactions sont possibles.</w:t>
      </w:r>
    </w:p>
    <w:p w:rsidR="00000000" w:rsidDel="00000000" w:rsidP="00000000" w:rsidRDefault="00000000" w:rsidRPr="00000000" w14:paraId="00000143">
      <w:pPr>
        <w:spacing w:after="200" w:line="276" w:lineRule="auto"/>
        <w:rPr>
          <w:b w:val="1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Médicaments susceptibles d’inhiber l’activité enzymatique des cytochromes (inhibiteurs enzymatiques) → diminution du métabolisme de la méthadone → augmentation de la concentration plasmatique de méthadone → augmentation de son action : RISQUE DE SUR DOSAGE</w:t>
          </w:r>
        </w:sdtContent>
      </w:sdt>
    </w:p>
    <w:p w:rsidR="00000000" w:rsidDel="00000000" w:rsidP="00000000" w:rsidRDefault="00000000" w:rsidRPr="00000000" w14:paraId="00000144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- Antibiotiques (fluoroquinolones, macrolides), antifongiques azolés, inhibiteurs de protéase,</w:t>
      </w:r>
    </w:p>
    <w:p w:rsidR="00000000" w:rsidDel="00000000" w:rsidP="00000000" w:rsidRDefault="00000000" w:rsidRPr="00000000" w14:paraId="00000145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- ISRS et antidépresseurs tricycliques,</w:t>
      </w:r>
    </w:p>
    <w:p w:rsidR="00000000" w:rsidDel="00000000" w:rsidP="00000000" w:rsidRDefault="00000000" w:rsidRPr="00000000" w14:paraId="00000146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- Jus de pamplemousse.</w:t>
      </w:r>
    </w:p>
    <w:p w:rsidR="00000000" w:rsidDel="00000000" w:rsidP="00000000" w:rsidRDefault="00000000" w:rsidRPr="00000000" w14:paraId="00000147">
      <w:pPr>
        <w:spacing w:after="200" w:line="276" w:lineRule="auto"/>
        <w:rPr>
          <w:b w:val="1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Médicaments susceptibles d’augmenter l’activité enzymatique des cytochromes (inducteurs enzymatiques) → augmentation du métabolisme de la méthadone → diminution de la concentration plasmatique de méthadone → diminution de son effet : RISQUE DE SOUS DOSAGE</w:t>
          </w:r>
        </w:sdtContent>
      </w:sdt>
    </w:p>
    <w:p w:rsidR="00000000" w:rsidDel="00000000" w:rsidP="00000000" w:rsidRDefault="00000000" w:rsidRPr="00000000" w14:paraId="00000148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- Rifampicine, rifabutine,</w:t>
      </w:r>
    </w:p>
    <w:p w:rsidR="00000000" w:rsidDel="00000000" w:rsidP="00000000" w:rsidRDefault="00000000" w:rsidRPr="00000000" w14:paraId="00000149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- Inhibiteurs non nucléosidiques de la reverse transcriptase : nevirapine, efavirenz,</w:t>
      </w:r>
    </w:p>
    <w:p w:rsidR="00000000" w:rsidDel="00000000" w:rsidP="00000000" w:rsidRDefault="00000000" w:rsidRPr="00000000" w14:paraId="0000014A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- Antiépileptiques : phenobarbital, phenytoine, carbamazepine,</w:t>
      </w:r>
    </w:p>
    <w:p w:rsidR="00000000" w:rsidDel="00000000" w:rsidP="00000000" w:rsidRDefault="00000000" w:rsidRPr="00000000" w14:paraId="0000014B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- Alcoolisme chronique, tabac, millepertuis.</w:t>
      </w:r>
    </w:p>
    <w:p w:rsidR="00000000" w:rsidDel="00000000" w:rsidP="00000000" w:rsidRDefault="00000000" w:rsidRPr="00000000" w14:paraId="0000014C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14E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jc w:val="both"/>
        <w:rPr>
          <w:i w:val="1"/>
          <w:color w:val="000000"/>
          <w:sz w:val="20"/>
          <w:szCs w:val="20"/>
        </w:rPr>
      </w:pPr>
      <w:r w:rsidDel="00000000" w:rsidR="00000000" w:rsidRPr="00000000">
        <w:rPr>
          <w:i w:val="1"/>
          <w:color w:val="000000"/>
          <w:sz w:val="20"/>
          <w:szCs w:val="20"/>
          <w:rtl w:val="0"/>
        </w:rPr>
        <w:t xml:space="preserve">Source : AMM/HAS 2020</w:t>
      </w:r>
    </w:p>
    <w:p w:rsidR="00000000" w:rsidDel="00000000" w:rsidP="00000000" w:rsidRDefault="00000000" w:rsidRPr="00000000" w14:paraId="00000151">
      <w:pPr>
        <w:rPr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167.0" w:type="dxa"/>
        <w:jc w:val="left"/>
        <w:tblInd w:w="0.0" w:type="dxa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9167"/>
        <w:tblGridChange w:id="0">
          <w:tblGrid>
            <w:gridCol w:w="9167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53">
            <w:pPr>
              <w:jc w:val="center"/>
              <w:rPr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000000"/>
                <w:sz w:val="32"/>
                <w:szCs w:val="32"/>
                <w:rtl w:val="0"/>
              </w:rPr>
              <w:t xml:space="preserve">ANNEXE</w:t>
            </w:r>
          </w:p>
        </w:tc>
      </w:tr>
    </w:tbl>
    <w:p w:rsidR="00000000" w:rsidDel="00000000" w:rsidP="00000000" w:rsidRDefault="00000000" w:rsidRPr="00000000" w14:paraId="00000154">
      <w:pPr>
        <w:rPr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b w:val="1"/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  <w:t xml:space="preserve">Échelle de vigilance-agitation de Richmond (Richmond AgitationSedation Scale – RASS) – version française)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/>
        <w:drawing>
          <wp:inline distB="0" distT="0" distL="0" distR="0">
            <wp:extent cx="5760855" cy="3319529"/>
            <wp:effectExtent b="0" l="0" r="0" t="0"/>
            <wp:docPr descr="Une image contenant texte&#10;&#10;Description générée automatiquement" id="2" name="image1.png"/>
            <a:graphic>
              <a:graphicData uri="http://schemas.openxmlformats.org/drawingml/2006/picture">
                <pic:pic>
                  <pic:nvPicPr>
                    <pic:cNvPr descr="Une image contenant texte&#10;&#10;Description générée automatiquement" id="0" name="image1.png"/>
                    <pic:cNvPicPr preferRelativeResize="0"/>
                  </pic:nvPicPr>
                  <pic:blipFill>
                    <a:blip r:embed="rId14"/>
                    <a:srcRect b="16744" l="21782" r="22459" t="26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855" cy="33195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Source HAS 2020</w:t>
      </w:r>
    </w:p>
    <w:sectPr>
      <w:type w:val="nextPage"/>
      <w:pgSz w:h="16834" w:w="11907" w:orient="portrait"/>
      <w:pgMar w:bottom="720" w:top="1152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Unicode MS"/>
  <w:font w:name="Courier New"/>
  <w:font w:name="Bookman Old Style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8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7"/>
      <w:tblW w:w="10890.0" w:type="dxa"/>
      <w:jc w:val="left"/>
      <w:tblInd w:w="-101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3870"/>
      <w:gridCol w:w="2430"/>
      <w:gridCol w:w="2430"/>
      <w:gridCol w:w="2160"/>
      <w:tblGridChange w:id="0">
        <w:tblGrid>
          <w:gridCol w:w="3870"/>
          <w:gridCol w:w="2430"/>
          <w:gridCol w:w="2430"/>
          <w:gridCol w:w="216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16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  <w:tab w:val="right" w:pos="2552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Rédacteur</w:t>
          </w:r>
        </w:p>
      </w:tc>
      <w:tc>
        <w:tcPr/>
        <w:p w:rsidR="00000000" w:rsidDel="00000000" w:rsidP="00000000" w:rsidRDefault="00000000" w:rsidRPr="00000000" w14:paraId="0000016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  <w:tab w:val="right" w:pos="2332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Vérificateur</w:t>
          </w:r>
        </w:p>
      </w:tc>
      <w:tc>
        <w:tcPr/>
        <w:p w:rsidR="00000000" w:rsidDel="00000000" w:rsidP="00000000" w:rsidRDefault="00000000" w:rsidRPr="00000000" w14:paraId="0000016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  <w:tab w:val="right" w:pos="2056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Approbation</w:t>
          </w:r>
        </w:p>
      </w:tc>
      <w:tc>
        <w:tcPr/>
        <w:p w:rsidR="00000000" w:rsidDel="00000000" w:rsidP="00000000" w:rsidRDefault="00000000" w:rsidRPr="00000000" w14:paraId="0000016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  <w:tab w:val="right" w:pos="2056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Diffusion</w:t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17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  <w:tab w:val="left" w:pos="851"/>
              <w:tab w:val="right" w:pos="8789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D. Gautier</w:t>
          </w:r>
        </w:p>
        <w:p w:rsidR="00000000" w:rsidDel="00000000" w:rsidP="00000000" w:rsidRDefault="00000000" w:rsidRPr="00000000" w14:paraId="0000017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  <w:tab w:val="left" w:pos="851"/>
              <w:tab w:val="right" w:pos="8789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P. Jaranowski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7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  <w:tab w:val="left" w:pos="92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C. Bussy</w:t>
          </w:r>
        </w:p>
      </w:tc>
      <w:tc>
        <w:tcPr/>
        <w:p w:rsidR="00000000" w:rsidDel="00000000" w:rsidP="00000000" w:rsidRDefault="00000000" w:rsidRPr="00000000" w14:paraId="0000017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  <w:tab w:val="left" w:pos="92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D. Motto</w:t>
          </w:r>
        </w:p>
        <w:p w:rsidR="00000000" w:rsidDel="00000000" w:rsidP="00000000" w:rsidRDefault="00000000" w:rsidRPr="00000000" w14:paraId="0000017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  <w:tab w:val="left" w:pos="92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R. Sigal</w:t>
          </w:r>
        </w:p>
      </w:tc>
      <w:tc>
        <w:tcPr/>
        <w:p w:rsidR="00000000" w:rsidDel="00000000" w:rsidP="00000000" w:rsidRDefault="00000000" w:rsidRPr="00000000" w14:paraId="0000017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  <w:tab w:val="left" w:pos="92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7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  <w:tab w:val="left" w:pos="92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Contrôlée</w:t>
          </w:r>
        </w:p>
        <w:p w:rsidR="00000000" w:rsidDel="00000000" w:rsidP="00000000" w:rsidRDefault="00000000" w:rsidRPr="00000000" w14:paraId="0000017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  <w:tab w:val="left" w:pos="92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selon liste pré-établie</w:t>
          </w:r>
        </w:p>
      </w:tc>
    </w:tr>
  </w:tbl>
  <w:p w:rsidR="00000000" w:rsidDel="00000000" w:rsidP="00000000" w:rsidRDefault="00000000" w:rsidRPr="00000000" w14:paraId="000001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i w:val="1"/>
      </w:rPr>
    </w:pPr>
    <w:r w:rsidDel="00000000" w:rsidR="00000000" w:rsidRPr="00000000">
      <w:rPr>
        <w:rtl w:val="0"/>
      </w:rPr>
    </w:r>
  </w:p>
  <w:tbl>
    <w:tblPr>
      <w:tblStyle w:val="Table16"/>
      <w:tblW w:w="11058.0" w:type="dxa"/>
      <w:jc w:val="left"/>
      <w:tblInd w:w="-923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Layout w:type="fixed"/>
      <w:tblLook w:val="0000"/>
    </w:tblPr>
    <w:tblGrid>
      <w:gridCol w:w="2520"/>
      <w:gridCol w:w="5506"/>
      <w:gridCol w:w="3032"/>
      <w:tblGridChange w:id="0">
        <w:tblGrid>
          <w:gridCol w:w="2520"/>
          <w:gridCol w:w="5506"/>
          <w:gridCol w:w="3032"/>
        </w:tblGrid>
      </w:tblGridChange>
    </w:tblGrid>
    <w:tr>
      <w:trPr>
        <w:cantSplit w:val="1"/>
        <w:trHeight w:val="980" w:hRule="atLeast"/>
        <w:tblHeader w:val="0"/>
      </w:trPr>
      <w:tc>
        <w:tcPr/>
        <w:p w:rsidR="00000000" w:rsidDel="00000000" w:rsidP="00000000" w:rsidRDefault="00000000" w:rsidRPr="00000000" w14:paraId="0000015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5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ETABLISSMENT </w:t>
          </w:r>
        </w:p>
      </w:tc>
      <w:tc>
        <w:tcPr/>
        <w:p w:rsidR="00000000" w:rsidDel="00000000" w:rsidP="00000000" w:rsidRDefault="00000000" w:rsidRPr="00000000" w14:paraId="0000015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center"/>
            <w:rPr>
              <w:rFonts w:ascii="Bookman Old Style" w:cs="Bookman Old Style" w:eastAsia="Bookman Old Style" w:hAnsi="Bookman Old Style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5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center"/>
            <w:rPr>
              <w:rFonts w:ascii="Bookman Old Style" w:cs="Bookman Old Style" w:eastAsia="Bookman Old Style" w:hAnsi="Bookman Old Style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5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center"/>
            <w:rPr>
              <w:rFonts w:ascii="Bookman Old Style" w:cs="Bookman Old Style" w:eastAsia="Bookman Old Style" w:hAnsi="Bookman Old Style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ookman Old Style" w:cs="Bookman Old Style" w:eastAsia="Bookman Old Style" w:hAnsi="Bookman Old Style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INSTANCE RESPONSABLE </w:t>
          </w:r>
        </w:p>
        <w:p w:rsidR="00000000" w:rsidDel="00000000" w:rsidP="00000000" w:rsidRDefault="00000000" w:rsidRPr="00000000" w14:paraId="0000015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center"/>
            <w:rPr>
              <w:rFonts w:ascii="Bookman Old Style" w:cs="Bookman Old Style" w:eastAsia="Bookman Old Style" w:hAnsi="Bookman Old Style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Bookman Old Style" w:cs="Bookman Old Style" w:eastAsia="Bookman Old Style" w:hAnsi="Bookman Old Style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(Ex : CLUD)</w:t>
          </w:r>
        </w:p>
      </w:tc>
      <w:tc>
        <w:tcPr/>
        <w:p w:rsidR="00000000" w:rsidDel="00000000" w:rsidP="00000000" w:rsidRDefault="00000000" w:rsidRPr="00000000" w14:paraId="0000016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Réf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. :    </w:t>
          </w:r>
        </w:p>
        <w:p w:rsidR="00000000" w:rsidDel="00000000" w:rsidP="00000000" w:rsidRDefault="00000000" w:rsidRPr="00000000" w14:paraId="0000016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Service</w:t>
          </w:r>
          <w:r w:rsidDel="00000000" w:rsidR="00000000" w:rsidRPr="00000000">
            <w:rPr>
              <w:rFonts w:ascii="Arial" w:cs="Arial" w:eastAsia="Arial" w:hAnsi="Arial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 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: </w:t>
          </w:r>
        </w:p>
        <w:p w:rsidR="00000000" w:rsidDel="00000000" w:rsidP="00000000" w:rsidRDefault="00000000" w:rsidRPr="00000000" w14:paraId="0000016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Date création : </w:t>
          </w:r>
        </w:p>
        <w:p w:rsidR="00000000" w:rsidDel="00000000" w:rsidP="00000000" w:rsidRDefault="00000000" w:rsidRPr="00000000" w14:paraId="0000016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Date diffusion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 :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6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Date péremption :</w:t>
          </w:r>
        </w:p>
      </w:tc>
    </w:tr>
  </w:tbl>
  <w:p w:rsidR="00000000" w:rsidDel="00000000" w:rsidP="00000000" w:rsidRDefault="00000000" w:rsidRPr="00000000" w14:paraId="000001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E5E66"/>
    <w:pPr>
      <w:spacing w:after="0" w:line="240" w:lineRule="auto"/>
    </w:pPr>
    <w:rPr>
      <w:rFonts w:ascii="Arial" w:cs="Times New Roman" w:eastAsia="Times New Roman" w:hAnsi="Arial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Rubrique1" w:customStyle="1">
    <w:name w:val="Rubrique1"/>
    <w:basedOn w:val="Normal"/>
    <w:rsid w:val="001E5E66"/>
    <w:pPr>
      <w:spacing w:after="240" w:before="240"/>
    </w:pPr>
    <w:rPr>
      <w:rFonts w:ascii="Arial Black" w:hAnsi="Arial Black"/>
      <w:smallCaps w:val="1"/>
      <w:sz w:val="20"/>
    </w:rPr>
  </w:style>
  <w:style w:type="paragraph" w:styleId="En-tte">
    <w:name w:val="header"/>
    <w:basedOn w:val="Normal"/>
    <w:link w:val="En-tteCar"/>
    <w:rsid w:val="001E5E66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rsid w:val="001E5E66"/>
    <w:rPr>
      <w:rFonts w:ascii="Arial" w:cs="Times New Roman" w:eastAsia="Times New Roman" w:hAnsi="Arial"/>
      <w:szCs w:val="20"/>
    </w:rPr>
  </w:style>
  <w:style w:type="paragraph" w:styleId="Pieddepage">
    <w:name w:val="footer"/>
    <w:basedOn w:val="Normal"/>
    <w:link w:val="PieddepageCar"/>
    <w:rsid w:val="001E5E66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rsid w:val="001E5E66"/>
    <w:rPr>
      <w:rFonts w:ascii="Arial" w:cs="Times New Roman" w:eastAsia="Times New Roman" w:hAnsi="Arial"/>
      <w:szCs w:val="20"/>
    </w:rPr>
  </w:style>
  <w:style w:type="paragraph" w:styleId="TexteRubrique1" w:customStyle="1">
    <w:name w:val="Texte Rubrique1"/>
    <w:basedOn w:val="Normal"/>
    <w:rsid w:val="001E5E66"/>
    <w:pPr>
      <w:jc w:val="both"/>
    </w:pPr>
    <w:rPr>
      <w:sz w:val="20"/>
    </w:rPr>
  </w:style>
  <w:style w:type="paragraph" w:styleId="Paragraphedeliste">
    <w:name w:val="List Paragraph"/>
    <w:basedOn w:val="Normal"/>
    <w:uiPriority w:val="34"/>
    <w:qFormat w:val="1"/>
    <w:rsid w:val="001E5E66"/>
    <w:pPr>
      <w:spacing w:after="200" w:line="276" w:lineRule="auto"/>
      <w:ind w:left="720"/>
      <w:contextualSpacing w:val="1"/>
    </w:pPr>
    <w:rPr>
      <w:rFonts w:ascii="Calibri" w:eastAsia="Calibri" w:hAnsi="Calibri"/>
      <w:szCs w:val="22"/>
    </w:rPr>
  </w:style>
  <w:style w:type="character" w:styleId="normaltextrunscx74232364" w:customStyle="1">
    <w:name w:val="normaltextrun scx74232364"/>
    <w:uiPriority w:val="99"/>
    <w:rsid w:val="001E5E66"/>
    <w:rPr>
      <w:rFonts w:cs="Times New Roman"/>
    </w:rPr>
  </w:style>
  <w:style w:type="table" w:styleId="Grilledutableau">
    <w:name w:val="Table Grid"/>
    <w:basedOn w:val="TableauNormal"/>
    <w:uiPriority w:val="39"/>
    <w:unhideWhenUsed w:val="1"/>
    <w:rsid w:val="0072489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auGrille1Clair">
    <w:name w:val="Grid Table 1 Light"/>
    <w:basedOn w:val="TableauNormal"/>
    <w:uiPriority w:val="46"/>
    <w:rsid w:val="00AF790E"/>
    <w:pPr>
      <w:spacing w:after="0" w:line="240" w:lineRule="auto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leausimple1">
    <w:name w:val="Plain Table 1"/>
    <w:basedOn w:val="TableauNormal"/>
    <w:uiPriority w:val="41"/>
    <w:rsid w:val="00AF790E"/>
    <w:pPr>
      <w:spacing w:after="0" w:line="240" w:lineRule="auto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Tableausimple4">
    <w:name w:val="Plain Table 4"/>
    <w:basedOn w:val="TableauNormal"/>
    <w:uiPriority w:val="44"/>
    <w:rsid w:val="00AF790E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Grilledetableauclaire">
    <w:name w:val="Grid Table Light"/>
    <w:basedOn w:val="TableauNormal"/>
    <w:uiPriority w:val="40"/>
    <w:rsid w:val="007D74C9"/>
    <w:pPr>
      <w:spacing w:after="0" w:line="240" w:lineRule="auto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character" w:styleId="Lienhypertexte">
    <w:name w:val="Hyperlink"/>
    <w:basedOn w:val="Policepardfaut"/>
    <w:uiPriority w:val="99"/>
    <w:unhideWhenUsed w:val="1"/>
    <w:rsid w:val="00470EE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 w:val="1"/>
    <w:unhideWhenUsed w:val="1"/>
    <w:rsid w:val="00470EEB"/>
    <w:rPr>
      <w:color w:val="605e5c"/>
      <w:shd w:color="auto" w:fill="e1dfdd" w:val="clear"/>
    </w:rPr>
  </w:style>
  <w:style w:type="character" w:styleId="Marquedecommentaire">
    <w:name w:val="annotation reference"/>
    <w:basedOn w:val="Policepardfaut"/>
    <w:uiPriority w:val="99"/>
    <w:semiHidden w:val="1"/>
    <w:unhideWhenUsed w:val="1"/>
    <w:rsid w:val="002B37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 w:val="1"/>
    <w:unhideWhenUsed w:val="1"/>
    <w:rsid w:val="002B3790"/>
    <w:rPr>
      <w:sz w:val="20"/>
    </w:rPr>
  </w:style>
  <w:style w:type="character" w:styleId="CommentaireCar" w:customStyle="1">
    <w:name w:val="Commentaire Car"/>
    <w:basedOn w:val="Policepardfaut"/>
    <w:link w:val="Commentaire"/>
    <w:uiPriority w:val="99"/>
    <w:semiHidden w:val="1"/>
    <w:rsid w:val="002B3790"/>
    <w:rPr>
      <w:rFonts w:ascii="Arial" w:cs="Times New Roman" w:eastAsia="Times New Roman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2B3790"/>
    <w:rPr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2B3790"/>
    <w:rPr>
      <w:rFonts w:ascii="Arial" w:cs="Times New Roman" w:eastAsia="Times New Roman" w:hAnsi="Arial"/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sfetd-douleur.org/douleurs-cancer/" TargetMode="External"/><Relationship Id="rId10" Type="http://schemas.openxmlformats.org/officeDocument/2006/relationships/footer" Target="footer2.xml"/><Relationship Id="rId13" Type="http://schemas.openxmlformats.org/officeDocument/2006/relationships/hyperlink" Target="https://www.has-sante.fr/upload/docs/application/pdf/2020-02/reco_fin_vie_med.pdf" TargetMode="External"/><Relationship Id="rId12" Type="http://schemas.openxmlformats.org/officeDocument/2006/relationships/hyperlink" Target="https://ansm.sante.fr/documents/reference/recommandations-pour-les-medicament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3.xm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UiDKSZvNvRNZEYlis6+f3gU7pA==">AMUW2mUE9AGHNdnypTDnsh9Bph5vuE+JakOit1SV/1Z98DpKF9qha5HaAVEsiwyz/0I//wBqTqBHRN74rRRApL5fQXfY0K2MZqU267rdZzp7SB9KSFkGq2BZgmTh1EaDYGCVvATWs+HXIAAW6H5enuaSnzRFnuOVEdWzrEUAjVT87pC9cfQBMKpBfe1OKSn7u/t9APnnqxv8vrrCXIVPPI0mAuRBrlnW3A==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2021-06-24T14:15:00Z</dcterms:created>
  <dc:creator>Erwan TREILLET</dc:creator>
</cp:coreProperties>
</file>